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10F60" w14:textId="77777777" w:rsidR="00312E47" w:rsidRDefault="00312E47" w:rsidP="00312E47">
      <w:pPr>
        <w:autoSpaceDE w:val="0"/>
        <w:autoSpaceDN w:val="0"/>
        <w:adjustRightInd w:val="0"/>
        <w:spacing w:after="0" w:line="240" w:lineRule="auto"/>
        <w:rPr>
          <w:rFonts w:ascii="Tms Rmn" w:hAnsi="Tms Rmn"/>
          <w:sz w:val="24"/>
          <w:szCs w:val="24"/>
        </w:rPr>
      </w:pPr>
      <w:bookmarkStart w:id="0" w:name="_GoBack"/>
      <w:bookmarkEnd w:id="0"/>
    </w:p>
    <w:tbl>
      <w:tblPr>
        <w:tblW w:w="5000" w:type="pct"/>
        <w:tblLayout w:type="fixed"/>
        <w:tblCellMar>
          <w:left w:w="0" w:type="dxa"/>
          <w:right w:w="0" w:type="dxa"/>
        </w:tblCellMar>
        <w:tblLook w:val="00A0" w:firstRow="1" w:lastRow="0" w:firstColumn="1" w:lastColumn="0" w:noHBand="0" w:noVBand="0"/>
      </w:tblPr>
      <w:tblGrid>
        <w:gridCol w:w="3875"/>
        <w:gridCol w:w="5485"/>
      </w:tblGrid>
      <w:tr w:rsidR="00312E47" w14:paraId="71891654" w14:textId="77777777" w:rsidTr="00724223">
        <w:trPr>
          <w:trHeight w:val="643"/>
        </w:trPr>
        <w:tc>
          <w:tcPr>
            <w:tcW w:w="2070" w:type="pct"/>
            <w:shd w:val="clear" w:color="auto" w:fill="71B2CF"/>
          </w:tcPr>
          <w:p w14:paraId="0427C90B" w14:textId="77777777" w:rsidR="00312E47" w:rsidRDefault="00312E47">
            <w:pPr>
              <w:keepNext/>
              <w:keepLines/>
              <w:autoSpaceDE w:val="0"/>
              <w:autoSpaceDN w:val="0"/>
              <w:adjustRightInd w:val="0"/>
              <w:spacing w:after="0" w:line="240" w:lineRule="auto"/>
              <w:ind w:left="75" w:right="75"/>
              <w:rPr>
                <w:rFonts w:ascii="Helv" w:hAnsi="Helv" w:cs="Helv"/>
                <w:b/>
                <w:bCs/>
                <w:color w:val="EFEFEF"/>
                <w:sz w:val="36"/>
                <w:szCs w:val="36"/>
              </w:rPr>
            </w:pPr>
            <w:r>
              <w:rPr>
                <w:rFonts w:ascii="Helv" w:hAnsi="Helv" w:cs="Helv"/>
                <w:b/>
                <w:bCs/>
                <w:color w:val="EFEFEF"/>
                <w:sz w:val="36"/>
                <w:szCs w:val="36"/>
              </w:rPr>
              <w:t xml:space="preserve">Job Description </w:t>
            </w:r>
          </w:p>
          <w:p w14:paraId="2ED186B6" w14:textId="77777777" w:rsidR="00312E47" w:rsidRDefault="00312E47" w:rsidP="00724223">
            <w:pPr>
              <w:keepLines/>
              <w:autoSpaceDE w:val="0"/>
              <w:autoSpaceDN w:val="0"/>
              <w:adjustRightInd w:val="0"/>
              <w:spacing w:after="0" w:line="240" w:lineRule="auto"/>
              <w:ind w:left="75" w:right="75"/>
              <w:rPr>
                <w:rFonts w:ascii="Helv" w:hAnsi="Helv" w:cs="Helv"/>
                <w:color w:val="FF0000"/>
                <w:sz w:val="24"/>
                <w:szCs w:val="24"/>
              </w:rPr>
            </w:pPr>
          </w:p>
        </w:tc>
        <w:tc>
          <w:tcPr>
            <w:tcW w:w="2929" w:type="pct"/>
            <w:shd w:val="clear" w:color="auto" w:fill="71B2CF"/>
          </w:tcPr>
          <w:p w14:paraId="3729BED2" w14:textId="77777777" w:rsidR="00312E47" w:rsidRDefault="00312E47">
            <w:pPr>
              <w:keepLines/>
              <w:autoSpaceDE w:val="0"/>
              <w:autoSpaceDN w:val="0"/>
              <w:adjustRightInd w:val="0"/>
              <w:spacing w:after="0" w:line="240" w:lineRule="auto"/>
              <w:ind w:left="424" w:right="106" w:hanging="318"/>
              <w:jc w:val="right"/>
              <w:rPr>
                <w:rFonts w:ascii="Helv" w:hAnsi="Helv" w:cs="Helv"/>
                <w:color w:val="FF0000"/>
                <w:sz w:val="24"/>
                <w:szCs w:val="24"/>
              </w:rPr>
            </w:pPr>
          </w:p>
          <w:p w14:paraId="578A5BCC" w14:textId="6F66D5EB" w:rsidR="00312E47" w:rsidRDefault="00312E47" w:rsidP="00724223">
            <w:pPr>
              <w:keepLines/>
              <w:wordWrap w:val="0"/>
              <w:autoSpaceDE w:val="0"/>
              <w:autoSpaceDN w:val="0"/>
              <w:adjustRightInd w:val="0"/>
              <w:spacing w:after="0" w:line="240" w:lineRule="auto"/>
              <w:ind w:left="106" w:right="106"/>
              <w:jc w:val="right"/>
              <w:rPr>
                <w:rFonts w:ascii="Helv" w:hAnsi="Helv" w:cs="Helv"/>
                <w:b/>
                <w:bCs/>
                <w:color w:val="FFFFFF"/>
                <w:sz w:val="16"/>
                <w:szCs w:val="16"/>
              </w:rPr>
            </w:pPr>
            <w:r>
              <w:rPr>
                <w:rFonts w:ascii="Helv" w:hAnsi="Helv" w:cs="Helv"/>
                <w:color w:val="FFFFFF"/>
                <w:sz w:val="16"/>
                <w:szCs w:val="16"/>
              </w:rPr>
              <w:t xml:space="preserve">Created by </w:t>
            </w:r>
            <w:r w:rsidR="00724223">
              <w:rPr>
                <w:rFonts w:ascii="Helv" w:hAnsi="Helv" w:cs="Helv"/>
                <w:color w:val="FFFFFF"/>
                <w:sz w:val="16"/>
                <w:szCs w:val="16"/>
              </w:rPr>
              <w:t>Satomi Fujii</w:t>
            </w:r>
            <w:r>
              <w:rPr>
                <w:rFonts w:ascii="Helv" w:hAnsi="Helv" w:cs="Helv"/>
                <w:color w:val="FFFFFF"/>
                <w:sz w:val="16"/>
                <w:szCs w:val="16"/>
              </w:rPr>
              <w:t xml:space="preserve"> on </w:t>
            </w:r>
            <w:r w:rsidR="00340BA4">
              <w:rPr>
                <w:rFonts w:ascii="Helv" w:hAnsi="Helv" w:cs="Helv"/>
                <w:b/>
                <w:bCs/>
                <w:color w:val="FFFFFF"/>
                <w:sz w:val="16"/>
                <w:szCs w:val="16"/>
              </w:rPr>
              <w:t>01</w:t>
            </w:r>
            <w:r w:rsidR="00724223">
              <w:rPr>
                <w:rFonts w:ascii="Helv" w:hAnsi="Helv" w:cs="Helv"/>
                <w:b/>
                <w:bCs/>
                <w:color w:val="FFFFFF"/>
                <w:sz w:val="16"/>
                <w:szCs w:val="16"/>
              </w:rPr>
              <w:t>/</w:t>
            </w:r>
            <w:r w:rsidR="00340BA4">
              <w:rPr>
                <w:rFonts w:ascii="Helv" w:hAnsi="Helv" w:cs="Helv"/>
                <w:b/>
                <w:bCs/>
                <w:color w:val="FFFFFF"/>
                <w:sz w:val="16"/>
                <w:szCs w:val="16"/>
              </w:rPr>
              <w:t>06</w:t>
            </w:r>
            <w:r w:rsidR="00724223">
              <w:rPr>
                <w:rFonts w:ascii="Helv" w:hAnsi="Helv" w:cs="Helv"/>
                <w:b/>
                <w:bCs/>
                <w:color w:val="FFFFFF"/>
                <w:sz w:val="16"/>
                <w:szCs w:val="16"/>
              </w:rPr>
              <w:t>/2021</w:t>
            </w:r>
          </w:p>
          <w:p w14:paraId="359D606D" w14:textId="7201A6AC" w:rsidR="00312E47" w:rsidRPr="00724223" w:rsidRDefault="00312E47" w:rsidP="00340BA4">
            <w:pPr>
              <w:keepLines/>
              <w:wordWrap w:val="0"/>
              <w:autoSpaceDE w:val="0"/>
              <w:autoSpaceDN w:val="0"/>
              <w:adjustRightInd w:val="0"/>
              <w:spacing w:after="0" w:line="240" w:lineRule="auto"/>
              <w:ind w:left="106" w:right="106"/>
              <w:jc w:val="right"/>
              <w:rPr>
                <w:rFonts w:ascii="Helv" w:hAnsi="Helv" w:cs="Helv"/>
                <w:b/>
                <w:bCs/>
                <w:color w:val="C0C0C0"/>
                <w:sz w:val="16"/>
                <w:szCs w:val="16"/>
              </w:rPr>
            </w:pPr>
            <w:r>
              <w:rPr>
                <w:rFonts w:ascii="Helv" w:hAnsi="Helv" w:cs="Helv"/>
                <w:color w:val="FFFFFF"/>
                <w:sz w:val="16"/>
                <w:szCs w:val="16"/>
              </w:rPr>
              <w:t xml:space="preserve">Evaluated by </w:t>
            </w:r>
            <w:r w:rsidR="00724223">
              <w:rPr>
                <w:rFonts w:ascii="Helv" w:hAnsi="Helv" w:cs="Helv"/>
                <w:color w:val="FFFFFF"/>
                <w:sz w:val="16"/>
                <w:szCs w:val="16"/>
              </w:rPr>
              <w:t>Takeshi Suzuki</w:t>
            </w:r>
            <w:r>
              <w:rPr>
                <w:rFonts w:ascii="Helv" w:hAnsi="Helv" w:cs="Helv"/>
                <w:color w:val="FFFFFF"/>
                <w:sz w:val="16"/>
                <w:szCs w:val="16"/>
              </w:rPr>
              <w:t xml:space="preserve"> on </w:t>
            </w:r>
            <w:r w:rsidR="00340BA4">
              <w:rPr>
                <w:rFonts w:ascii="Helv" w:hAnsi="Helv" w:cs="Helv"/>
                <w:color w:val="FFFFFF"/>
                <w:sz w:val="16"/>
                <w:szCs w:val="16"/>
              </w:rPr>
              <w:t>01</w:t>
            </w:r>
            <w:r w:rsidR="00340BA4">
              <w:rPr>
                <w:rFonts w:ascii="Helv" w:hAnsi="Helv" w:cs="Helv"/>
                <w:b/>
                <w:bCs/>
                <w:color w:val="FFFFFF"/>
                <w:sz w:val="16"/>
                <w:szCs w:val="16"/>
              </w:rPr>
              <w:t>/06</w:t>
            </w:r>
            <w:r w:rsidR="00724223">
              <w:rPr>
                <w:rFonts w:ascii="Helv" w:hAnsi="Helv" w:cs="Helv"/>
                <w:b/>
                <w:bCs/>
                <w:color w:val="FFFFFF"/>
                <w:sz w:val="16"/>
                <w:szCs w:val="16"/>
              </w:rPr>
              <w:t>/2021</w:t>
            </w:r>
          </w:p>
        </w:tc>
      </w:tr>
    </w:tbl>
    <w:p w14:paraId="332A8176" w14:textId="77777777" w:rsidR="00312E47" w:rsidRDefault="00312E47" w:rsidP="00312E47">
      <w:pPr>
        <w:tabs>
          <w:tab w:val="left" w:pos="1440"/>
        </w:tabs>
        <w:autoSpaceDE w:val="0"/>
        <w:autoSpaceDN w:val="0"/>
        <w:adjustRightInd w:val="0"/>
        <w:spacing w:after="0" w:line="240" w:lineRule="auto"/>
        <w:rPr>
          <w:rFonts w:ascii="Helv" w:hAnsi="Helv" w:cs="Helv"/>
          <w:color w:val="FFFFFF"/>
          <w:sz w:val="16"/>
          <w:szCs w:val="16"/>
        </w:rPr>
      </w:pPr>
    </w:p>
    <w:tbl>
      <w:tblPr>
        <w:tblW w:w="5000" w:type="pct"/>
        <w:tblLayout w:type="fixed"/>
        <w:tblCellMar>
          <w:left w:w="0" w:type="dxa"/>
          <w:right w:w="0" w:type="dxa"/>
        </w:tblCellMar>
        <w:tblLook w:val="00A0" w:firstRow="1" w:lastRow="0" w:firstColumn="1" w:lastColumn="0" w:noHBand="0" w:noVBand="0"/>
      </w:tblPr>
      <w:tblGrid>
        <w:gridCol w:w="9344"/>
      </w:tblGrid>
      <w:tr w:rsidR="00312E47" w14:paraId="5DF48713" w14:textId="77777777">
        <w:tc>
          <w:tcPr>
            <w:tcW w:w="5000" w:type="pct"/>
            <w:tcBorders>
              <w:top w:val="single" w:sz="6" w:space="0" w:color="auto"/>
              <w:left w:val="single" w:sz="6" w:space="0" w:color="auto"/>
              <w:bottom w:val="single" w:sz="6" w:space="0" w:color="auto"/>
              <w:right w:val="single" w:sz="6" w:space="0" w:color="auto"/>
            </w:tcBorders>
            <w:shd w:val="clear" w:color="auto" w:fill="F7F7F7"/>
          </w:tcPr>
          <w:p w14:paraId="6A912991" w14:textId="77777777" w:rsidR="00312E47" w:rsidRDefault="00312E47">
            <w:pPr>
              <w:keepNext/>
              <w:keepLines/>
              <w:autoSpaceDE w:val="0"/>
              <w:autoSpaceDN w:val="0"/>
              <w:adjustRightInd w:val="0"/>
              <w:spacing w:after="0" w:line="240" w:lineRule="auto"/>
              <w:ind w:left="15" w:right="181"/>
              <w:rPr>
                <w:rFonts w:ascii="Helv" w:hAnsi="Helv" w:cs="Helv"/>
                <w:b/>
                <w:bCs/>
                <w:color w:val="000080"/>
                <w:sz w:val="20"/>
                <w:szCs w:val="20"/>
              </w:rPr>
            </w:pPr>
            <w:r>
              <w:rPr>
                <w:rFonts w:ascii="Helv" w:hAnsi="Helv" w:cs="Helv"/>
                <w:b/>
                <w:bCs/>
                <w:color w:val="000080"/>
                <w:sz w:val="20"/>
                <w:szCs w:val="20"/>
              </w:rPr>
              <w:t>Specific Title</w:t>
            </w:r>
          </w:p>
        </w:tc>
      </w:tr>
    </w:tbl>
    <w:p w14:paraId="08EED738" w14:textId="24CCD082" w:rsidR="00312E47" w:rsidRDefault="00724223" w:rsidP="00312E47">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Global Business Development and Client Service Department – Marketing and Client Service</w:t>
      </w:r>
    </w:p>
    <w:p w14:paraId="4DC347B9" w14:textId="77777777" w:rsidR="00312E47" w:rsidRDefault="00312E47" w:rsidP="00312E47">
      <w:pPr>
        <w:tabs>
          <w:tab w:val="left" w:pos="1440"/>
        </w:tabs>
        <w:autoSpaceDE w:val="0"/>
        <w:autoSpaceDN w:val="0"/>
        <w:adjustRightInd w:val="0"/>
        <w:spacing w:after="0" w:line="240" w:lineRule="auto"/>
        <w:rPr>
          <w:rFonts w:ascii="Helv" w:hAnsi="Helv" w:cs="Helv"/>
          <w:color w:val="000000"/>
          <w:sz w:val="20"/>
          <w:szCs w:val="20"/>
        </w:rPr>
      </w:pPr>
    </w:p>
    <w:tbl>
      <w:tblPr>
        <w:tblW w:w="5000" w:type="pct"/>
        <w:tblLayout w:type="fixed"/>
        <w:tblCellMar>
          <w:left w:w="0" w:type="dxa"/>
          <w:right w:w="0" w:type="dxa"/>
        </w:tblCellMar>
        <w:tblLook w:val="00A0" w:firstRow="1" w:lastRow="0" w:firstColumn="1" w:lastColumn="0" w:noHBand="0" w:noVBand="0"/>
      </w:tblPr>
      <w:tblGrid>
        <w:gridCol w:w="9344"/>
      </w:tblGrid>
      <w:tr w:rsidR="00312E47" w14:paraId="3407E541" w14:textId="77777777">
        <w:tc>
          <w:tcPr>
            <w:tcW w:w="5000" w:type="pct"/>
            <w:tcBorders>
              <w:top w:val="single" w:sz="6" w:space="0" w:color="auto"/>
              <w:left w:val="single" w:sz="6" w:space="0" w:color="auto"/>
              <w:bottom w:val="single" w:sz="6" w:space="0" w:color="auto"/>
              <w:right w:val="single" w:sz="6" w:space="0" w:color="auto"/>
            </w:tcBorders>
            <w:shd w:val="clear" w:color="auto" w:fill="F7F7F7"/>
          </w:tcPr>
          <w:p w14:paraId="57A36FE1" w14:textId="77777777" w:rsidR="00312E47" w:rsidRDefault="00312E47">
            <w:pPr>
              <w:keepNext/>
              <w:keepLines/>
              <w:autoSpaceDE w:val="0"/>
              <w:autoSpaceDN w:val="0"/>
              <w:adjustRightInd w:val="0"/>
              <w:spacing w:after="0" w:line="240" w:lineRule="auto"/>
              <w:ind w:left="15" w:right="181"/>
              <w:rPr>
                <w:rFonts w:ascii="Helv" w:hAnsi="Helv" w:cs="Helv"/>
                <w:b/>
                <w:bCs/>
                <w:color w:val="000080"/>
                <w:sz w:val="20"/>
                <w:szCs w:val="20"/>
              </w:rPr>
            </w:pPr>
            <w:r>
              <w:rPr>
                <w:rFonts w:ascii="Helv" w:hAnsi="Helv" w:cs="Helv"/>
                <w:b/>
                <w:bCs/>
                <w:color w:val="000080"/>
                <w:sz w:val="20"/>
                <w:szCs w:val="20"/>
              </w:rPr>
              <w:t>Purpose</w:t>
            </w:r>
          </w:p>
        </w:tc>
      </w:tr>
    </w:tbl>
    <w:p w14:paraId="2DF2B246" w14:textId="43F940F5" w:rsidR="00312E47" w:rsidRDefault="00312E47" w:rsidP="00312E47">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To </w:t>
      </w:r>
      <w:r w:rsidR="004F3E2C">
        <w:rPr>
          <w:rFonts w:ascii="Helv" w:hAnsi="Helv" w:cs="Helv"/>
          <w:color w:val="000000"/>
          <w:sz w:val="20"/>
          <w:szCs w:val="20"/>
        </w:rPr>
        <w:t xml:space="preserve">increase </w:t>
      </w:r>
      <w:r>
        <w:rPr>
          <w:rFonts w:ascii="Helv" w:hAnsi="Helv" w:cs="Helv"/>
          <w:color w:val="000000"/>
          <w:sz w:val="20"/>
          <w:szCs w:val="20"/>
        </w:rPr>
        <w:t xml:space="preserve">the Institutional sales efforts and to contribute to the overall </w:t>
      </w:r>
      <w:r w:rsidR="007A75DF">
        <w:rPr>
          <w:rFonts w:ascii="Helv" w:hAnsi="Helv" w:cs="Helv"/>
          <w:color w:val="000000"/>
          <w:sz w:val="20"/>
          <w:szCs w:val="20"/>
        </w:rPr>
        <w:t>AUM growth target</w:t>
      </w:r>
      <w:r>
        <w:rPr>
          <w:rFonts w:ascii="Helv" w:hAnsi="Helv" w:cs="Helv"/>
          <w:color w:val="000000"/>
          <w:sz w:val="20"/>
          <w:szCs w:val="20"/>
        </w:rPr>
        <w:t>.</w:t>
      </w:r>
    </w:p>
    <w:p w14:paraId="78932450" w14:textId="77777777" w:rsidR="00312E47" w:rsidRPr="00162000" w:rsidRDefault="00312E47" w:rsidP="00312E47">
      <w:pPr>
        <w:autoSpaceDE w:val="0"/>
        <w:autoSpaceDN w:val="0"/>
        <w:adjustRightInd w:val="0"/>
        <w:spacing w:after="0" w:line="240" w:lineRule="auto"/>
        <w:rPr>
          <w:rFonts w:ascii="Helv" w:hAnsi="Helv" w:cs="Helv"/>
          <w:color w:val="000000"/>
          <w:sz w:val="20"/>
          <w:szCs w:val="20"/>
        </w:rPr>
      </w:pPr>
    </w:p>
    <w:tbl>
      <w:tblPr>
        <w:tblW w:w="5000" w:type="pct"/>
        <w:tblLayout w:type="fixed"/>
        <w:tblCellMar>
          <w:left w:w="0" w:type="dxa"/>
          <w:right w:w="0" w:type="dxa"/>
        </w:tblCellMar>
        <w:tblLook w:val="00A0" w:firstRow="1" w:lastRow="0" w:firstColumn="1" w:lastColumn="0" w:noHBand="0" w:noVBand="0"/>
      </w:tblPr>
      <w:tblGrid>
        <w:gridCol w:w="9344"/>
      </w:tblGrid>
      <w:tr w:rsidR="00312E47" w14:paraId="50B79C2D" w14:textId="77777777">
        <w:tc>
          <w:tcPr>
            <w:tcW w:w="5000" w:type="pct"/>
            <w:tcBorders>
              <w:top w:val="single" w:sz="6" w:space="0" w:color="auto"/>
              <w:left w:val="single" w:sz="6" w:space="0" w:color="auto"/>
              <w:bottom w:val="single" w:sz="6" w:space="0" w:color="auto"/>
              <w:right w:val="single" w:sz="6" w:space="0" w:color="auto"/>
            </w:tcBorders>
            <w:shd w:val="clear" w:color="auto" w:fill="F7F7F7"/>
          </w:tcPr>
          <w:p w14:paraId="3FE509D9" w14:textId="77777777" w:rsidR="00312E47" w:rsidRDefault="00312E47">
            <w:pPr>
              <w:keepNext/>
              <w:keepLines/>
              <w:autoSpaceDE w:val="0"/>
              <w:autoSpaceDN w:val="0"/>
              <w:adjustRightInd w:val="0"/>
              <w:spacing w:after="0" w:line="240" w:lineRule="auto"/>
              <w:ind w:left="15" w:right="181"/>
              <w:rPr>
                <w:rFonts w:ascii="Helv" w:hAnsi="Helv" w:cs="Helv"/>
                <w:b/>
                <w:bCs/>
                <w:color w:val="000080"/>
                <w:sz w:val="20"/>
                <w:szCs w:val="20"/>
              </w:rPr>
            </w:pPr>
            <w:r>
              <w:rPr>
                <w:rFonts w:ascii="Helv" w:hAnsi="Helv" w:cs="Helv"/>
                <w:b/>
                <w:bCs/>
                <w:color w:val="000080"/>
                <w:sz w:val="20"/>
                <w:szCs w:val="20"/>
              </w:rPr>
              <w:t>Duties and Responsibilities</w:t>
            </w:r>
          </w:p>
        </w:tc>
      </w:tr>
    </w:tbl>
    <w:p w14:paraId="2EEF5C17" w14:textId="121C1E9B" w:rsidR="00312E47" w:rsidRDefault="004F3E2C" w:rsidP="00312E47">
      <w:pPr>
        <w:numPr>
          <w:ilvl w:val="0"/>
          <w:numId w:val="3"/>
        </w:numPr>
        <w:tabs>
          <w:tab w:val="left" w:pos="0"/>
          <w:tab w:val="left" w:pos="720"/>
          <w:tab w:val="left" w:pos="1440"/>
          <w:tab w:val="left" w:pos="2160"/>
          <w:tab w:val="left" w:pos="2880"/>
          <w:tab w:val="left" w:pos="3600"/>
          <w:tab w:val="left" w:pos="4320"/>
        </w:tabs>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Contributes to </w:t>
      </w:r>
      <w:r w:rsidR="00A6587F">
        <w:rPr>
          <w:rFonts w:ascii="Helv" w:hAnsi="Helv" w:cs="Helv"/>
          <w:color w:val="000000"/>
          <w:sz w:val="20"/>
          <w:szCs w:val="20"/>
        </w:rPr>
        <w:t>achieve</w:t>
      </w:r>
      <w:r w:rsidR="00312E47">
        <w:rPr>
          <w:rFonts w:ascii="Helv" w:hAnsi="Helv" w:cs="Helv"/>
          <w:color w:val="000000"/>
          <w:sz w:val="20"/>
          <w:szCs w:val="20"/>
        </w:rPr>
        <w:t xml:space="preserve"> </w:t>
      </w:r>
      <w:r>
        <w:rPr>
          <w:rFonts w:ascii="Helv" w:hAnsi="Helv" w:cs="Helv"/>
          <w:color w:val="000000"/>
          <w:sz w:val="20"/>
          <w:szCs w:val="20"/>
        </w:rPr>
        <w:t xml:space="preserve">AUM Growth </w:t>
      </w:r>
      <w:r w:rsidR="00312E47">
        <w:rPr>
          <w:rFonts w:ascii="Helv" w:hAnsi="Helv" w:cs="Helv"/>
          <w:color w:val="000000"/>
          <w:sz w:val="20"/>
          <w:szCs w:val="20"/>
        </w:rPr>
        <w:t xml:space="preserve">objectives </w:t>
      </w:r>
      <w:r>
        <w:rPr>
          <w:rFonts w:ascii="Helv" w:hAnsi="Helv" w:cs="Helv"/>
          <w:color w:val="000000"/>
          <w:sz w:val="20"/>
          <w:szCs w:val="20"/>
        </w:rPr>
        <w:t xml:space="preserve">assigned to GBDCS team </w:t>
      </w:r>
      <w:r w:rsidR="00312E47">
        <w:rPr>
          <w:rFonts w:ascii="Helv" w:hAnsi="Helv" w:cs="Helv"/>
          <w:color w:val="000000"/>
          <w:sz w:val="20"/>
          <w:szCs w:val="20"/>
        </w:rPr>
        <w:t xml:space="preserve">with existing and prospective clients of </w:t>
      </w:r>
      <w:r w:rsidR="00D23863">
        <w:rPr>
          <w:rFonts w:ascii="Helv" w:hAnsi="Helv" w:cs="Helv"/>
          <w:color w:val="000000"/>
          <w:sz w:val="20"/>
          <w:szCs w:val="20"/>
        </w:rPr>
        <w:t>SPARX</w:t>
      </w:r>
      <w:r w:rsidR="00312E47">
        <w:rPr>
          <w:rFonts w:ascii="Helv" w:hAnsi="Helv" w:cs="Helv"/>
          <w:color w:val="000000"/>
          <w:sz w:val="20"/>
          <w:szCs w:val="20"/>
        </w:rPr>
        <w:t xml:space="preserve"> in line with </w:t>
      </w:r>
      <w:r w:rsidR="00D23863">
        <w:rPr>
          <w:rFonts w:ascii="Helv" w:hAnsi="Helv" w:cs="Helv"/>
          <w:color w:val="000000"/>
          <w:sz w:val="20"/>
          <w:szCs w:val="20"/>
        </w:rPr>
        <w:t>SPARX</w:t>
      </w:r>
      <w:r w:rsidR="00312E47">
        <w:rPr>
          <w:rFonts w:ascii="Helv" w:hAnsi="Helv" w:cs="Helv"/>
          <w:color w:val="000000"/>
          <w:sz w:val="20"/>
          <w:szCs w:val="20"/>
        </w:rPr>
        <w:t>’s business plan.</w:t>
      </w:r>
    </w:p>
    <w:p w14:paraId="0E9679B0" w14:textId="34BFE061" w:rsidR="00312E47" w:rsidRDefault="00312E47" w:rsidP="00312E47">
      <w:pPr>
        <w:numPr>
          <w:ilvl w:val="0"/>
          <w:numId w:val="3"/>
        </w:numPr>
        <w:tabs>
          <w:tab w:val="left" w:pos="0"/>
          <w:tab w:val="left" w:pos="720"/>
          <w:tab w:val="left" w:pos="1440"/>
          <w:tab w:val="left" w:pos="2160"/>
          <w:tab w:val="left" w:pos="2880"/>
          <w:tab w:val="left" w:pos="3600"/>
          <w:tab w:val="left" w:pos="4320"/>
        </w:tabs>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 xml:space="preserve">Promotes </w:t>
      </w:r>
      <w:r w:rsidR="00D23863">
        <w:rPr>
          <w:rFonts w:ascii="Helv" w:hAnsi="Helv" w:cs="Helv"/>
          <w:color w:val="000000"/>
          <w:sz w:val="20"/>
          <w:szCs w:val="20"/>
        </w:rPr>
        <w:t>SPARX</w:t>
      </w:r>
      <w:r w:rsidR="004F3E2C">
        <w:rPr>
          <w:rFonts w:ascii="Helv" w:hAnsi="Helv" w:cs="Helv"/>
          <w:color w:val="000000"/>
          <w:sz w:val="20"/>
          <w:szCs w:val="20"/>
        </w:rPr>
        <w:t xml:space="preserve"> and its</w:t>
      </w:r>
      <w:r>
        <w:rPr>
          <w:rFonts w:ascii="Helv" w:hAnsi="Helv" w:cs="Helv"/>
          <w:color w:val="000000"/>
          <w:sz w:val="20"/>
          <w:szCs w:val="20"/>
        </w:rPr>
        <w:t xml:space="preserve"> service and investment </w:t>
      </w:r>
      <w:r w:rsidR="004F3E2C">
        <w:rPr>
          <w:rFonts w:ascii="Helv" w:hAnsi="Helv" w:cs="Helv"/>
          <w:color w:val="000000"/>
          <w:sz w:val="20"/>
          <w:szCs w:val="20"/>
        </w:rPr>
        <w:t>strategies</w:t>
      </w:r>
      <w:r>
        <w:rPr>
          <w:rFonts w:ascii="Helv" w:hAnsi="Helv" w:cs="Helv"/>
          <w:color w:val="000000"/>
          <w:sz w:val="20"/>
          <w:szCs w:val="20"/>
        </w:rPr>
        <w:t xml:space="preserve"> through consultative sales act</w:t>
      </w:r>
      <w:r w:rsidR="004F3E2C">
        <w:rPr>
          <w:rFonts w:ascii="Helv" w:hAnsi="Helv" w:cs="Helv"/>
          <w:color w:val="000000"/>
          <w:sz w:val="20"/>
          <w:szCs w:val="20"/>
        </w:rPr>
        <w:t>ivity including prospecting, cold calling, virtual meetings and face-to-face meetings which requires traveling to overseas.</w:t>
      </w:r>
    </w:p>
    <w:p w14:paraId="4CA60A23" w14:textId="28BA9475" w:rsidR="004F3E2C" w:rsidRPr="004F3E2C" w:rsidRDefault="004F3E2C" w:rsidP="004F3E2C">
      <w:pPr>
        <w:numPr>
          <w:ilvl w:val="0"/>
          <w:numId w:val="3"/>
        </w:numPr>
        <w:tabs>
          <w:tab w:val="left" w:pos="0"/>
          <w:tab w:val="left" w:pos="720"/>
          <w:tab w:val="left" w:pos="1440"/>
          <w:tab w:val="left" w:pos="2160"/>
          <w:tab w:val="left" w:pos="2880"/>
          <w:tab w:val="left" w:pos="3600"/>
          <w:tab w:val="left" w:pos="4320"/>
        </w:tabs>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Maintains current and comprehensive client details including needs and communication logs, marketing activities and pipelines on client relationship management system for record keeping and pipeline management.</w:t>
      </w:r>
    </w:p>
    <w:p w14:paraId="6D66A4C5" w14:textId="1CBA2C23" w:rsidR="004F3E2C" w:rsidRDefault="004F3E2C" w:rsidP="004F3E2C">
      <w:pPr>
        <w:numPr>
          <w:ilvl w:val="0"/>
          <w:numId w:val="3"/>
        </w:numPr>
        <w:tabs>
          <w:tab w:val="left" w:pos="0"/>
          <w:tab w:val="left" w:pos="720"/>
          <w:tab w:val="left" w:pos="1440"/>
          <w:tab w:val="left" w:pos="2160"/>
          <w:tab w:val="left" w:pos="2880"/>
          <w:tab w:val="left" w:pos="3600"/>
          <w:tab w:val="left" w:pos="4320"/>
        </w:tabs>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Works closely with Investment &amp; Research Team to create a broad range of effective sales and marketing materials. Examples include, but are not limited to, company brochures, strategies and products and scheme brochures and consultative analysis on products. Ensures Compliance sign-off of all sales and marketing materials before distribution to clients.</w:t>
      </w:r>
    </w:p>
    <w:p w14:paraId="67E194A8" w14:textId="36778583" w:rsidR="004F3E2C" w:rsidRDefault="004F3E2C" w:rsidP="004F3E2C">
      <w:pPr>
        <w:numPr>
          <w:ilvl w:val="0"/>
          <w:numId w:val="3"/>
        </w:numPr>
        <w:tabs>
          <w:tab w:val="left" w:pos="0"/>
          <w:tab w:val="left" w:pos="720"/>
          <w:tab w:val="left" w:pos="1440"/>
          <w:tab w:val="left" w:pos="2160"/>
          <w:tab w:val="left" w:pos="2880"/>
          <w:tab w:val="left" w:pos="3600"/>
          <w:tab w:val="left" w:pos="4320"/>
        </w:tabs>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Responses to RFPs effectively from prospective clients.</w:t>
      </w:r>
    </w:p>
    <w:p w14:paraId="347F801F" w14:textId="49963DA4" w:rsidR="00312E47" w:rsidRDefault="00044A46" w:rsidP="00312E47">
      <w:pPr>
        <w:numPr>
          <w:ilvl w:val="0"/>
          <w:numId w:val="3"/>
        </w:numPr>
        <w:tabs>
          <w:tab w:val="left" w:pos="0"/>
          <w:tab w:val="left" w:pos="720"/>
          <w:tab w:val="left" w:pos="1440"/>
          <w:tab w:val="left" w:pos="2160"/>
          <w:tab w:val="left" w:pos="2880"/>
          <w:tab w:val="left" w:pos="3600"/>
          <w:tab w:val="left" w:pos="4320"/>
        </w:tabs>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P</w:t>
      </w:r>
      <w:r w:rsidR="00312E47">
        <w:rPr>
          <w:rFonts w:ascii="Helv" w:hAnsi="Helv" w:cs="Helv"/>
          <w:color w:val="000000"/>
          <w:sz w:val="20"/>
          <w:szCs w:val="20"/>
        </w:rPr>
        <w:t>rovide</w:t>
      </w:r>
      <w:r>
        <w:rPr>
          <w:rFonts w:ascii="Helv" w:hAnsi="Helv" w:cs="Helv"/>
          <w:color w:val="000000"/>
          <w:sz w:val="20"/>
          <w:szCs w:val="20"/>
        </w:rPr>
        <w:t>s</w:t>
      </w:r>
      <w:r w:rsidR="00312E47">
        <w:rPr>
          <w:rFonts w:ascii="Helv" w:hAnsi="Helv" w:cs="Helv"/>
          <w:color w:val="000000"/>
          <w:sz w:val="20"/>
          <w:szCs w:val="20"/>
        </w:rPr>
        <w:t xml:space="preserve"> reliable services for the existing clients</w:t>
      </w:r>
      <w:r>
        <w:rPr>
          <w:rFonts w:ascii="Helv" w:hAnsi="Helv" w:cs="Helv"/>
          <w:color w:val="000000"/>
          <w:sz w:val="20"/>
          <w:szCs w:val="20"/>
        </w:rPr>
        <w:t xml:space="preserve"> and increase clients satisfaction</w:t>
      </w:r>
      <w:r w:rsidR="00312E47">
        <w:rPr>
          <w:rFonts w:ascii="Helv" w:hAnsi="Helv" w:cs="Helv"/>
          <w:color w:val="000000"/>
          <w:sz w:val="20"/>
          <w:szCs w:val="20"/>
        </w:rPr>
        <w:t xml:space="preserve">. </w:t>
      </w:r>
    </w:p>
    <w:p w14:paraId="5379C8C4" w14:textId="23EA49B2" w:rsidR="00044A46" w:rsidRDefault="00044A46" w:rsidP="00BD13BB">
      <w:pPr>
        <w:numPr>
          <w:ilvl w:val="0"/>
          <w:numId w:val="3"/>
        </w:numPr>
        <w:tabs>
          <w:tab w:val="left" w:pos="0"/>
          <w:tab w:val="left" w:pos="720"/>
          <w:tab w:val="left" w:pos="1440"/>
          <w:tab w:val="left" w:pos="2160"/>
          <w:tab w:val="left" w:pos="2880"/>
          <w:tab w:val="left" w:pos="3600"/>
          <w:tab w:val="left" w:pos="4320"/>
        </w:tabs>
        <w:autoSpaceDE w:val="0"/>
        <w:autoSpaceDN w:val="0"/>
        <w:adjustRightInd w:val="0"/>
        <w:spacing w:after="120" w:line="240" w:lineRule="auto"/>
        <w:rPr>
          <w:rFonts w:ascii="Helv" w:hAnsi="Helv" w:cs="Helv"/>
          <w:color w:val="000000"/>
          <w:sz w:val="20"/>
          <w:szCs w:val="20"/>
        </w:rPr>
      </w:pPr>
      <w:r>
        <w:rPr>
          <w:rFonts w:ascii="Helv" w:hAnsi="Helv" w:cs="Helv"/>
          <w:color w:val="000000"/>
          <w:sz w:val="20"/>
          <w:szCs w:val="20"/>
        </w:rPr>
        <w:t>Provides regular reporting to existing clients and responses to ad-hoc requests from existing clients</w:t>
      </w:r>
      <w:r w:rsidR="00BD13BB">
        <w:rPr>
          <w:rFonts w:ascii="Helv" w:hAnsi="Helv" w:cs="Helv"/>
          <w:color w:val="000000"/>
          <w:sz w:val="20"/>
          <w:szCs w:val="20"/>
        </w:rPr>
        <w:t xml:space="preserve"> promptly</w:t>
      </w:r>
      <w:r>
        <w:rPr>
          <w:rFonts w:ascii="Helv" w:hAnsi="Helv" w:cs="Helv"/>
          <w:color w:val="000000"/>
          <w:sz w:val="20"/>
          <w:szCs w:val="20"/>
        </w:rPr>
        <w:t xml:space="preserve">. Examples include, but are not limited to, making investment reports and revision in existing agreements. </w:t>
      </w:r>
      <w:r w:rsidR="00BD13BB" w:rsidRPr="00BD13BB">
        <w:rPr>
          <w:rFonts w:ascii="Helv" w:hAnsi="Helv" w:cs="Helv"/>
          <w:color w:val="000000"/>
          <w:sz w:val="20"/>
          <w:szCs w:val="20"/>
        </w:rPr>
        <w:t xml:space="preserve">Having good understandings </w:t>
      </w:r>
      <w:r w:rsidR="00BD13BB">
        <w:rPr>
          <w:rFonts w:ascii="Helv" w:hAnsi="Helv" w:cs="Helv"/>
          <w:color w:val="000000"/>
          <w:sz w:val="20"/>
          <w:szCs w:val="20"/>
        </w:rPr>
        <w:t xml:space="preserve">of </w:t>
      </w:r>
      <w:r w:rsidR="00BD13BB" w:rsidRPr="00BD13BB">
        <w:rPr>
          <w:rFonts w:ascii="Helv" w:hAnsi="Helv" w:cs="Helv"/>
          <w:color w:val="000000"/>
          <w:sz w:val="20"/>
          <w:szCs w:val="20"/>
        </w:rPr>
        <w:t>the background and liaising with relevant departments such as Investment and Research, Trading, Risk, Operations and Legal and Compliance are required.</w:t>
      </w:r>
    </w:p>
    <w:p w14:paraId="58EDB2CB" w14:textId="77777777" w:rsidR="00312E47" w:rsidRDefault="00312E47" w:rsidP="00312E47">
      <w:pPr>
        <w:autoSpaceDE w:val="0"/>
        <w:autoSpaceDN w:val="0"/>
        <w:adjustRightInd w:val="0"/>
        <w:spacing w:after="0" w:line="240" w:lineRule="auto"/>
        <w:rPr>
          <w:rFonts w:ascii="Helv" w:hAnsi="Helv" w:cs="Helv"/>
          <w:color w:val="000000"/>
          <w:sz w:val="20"/>
          <w:szCs w:val="20"/>
        </w:rPr>
      </w:pPr>
    </w:p>
    <w:tbl>
      <w:tblPr>
        <w:tblW w:w="5000" w:type="pct"/>
        <w:tblLayout w:type="fixed"/>
        <w:tblCellMar>
          <w:left w:w="0" w:type="dxa"/>
          <w:right w:w="0" w:type="dxa"/>
        </w:tblCellMar>
        <w:tblLook w:val="00A0" w:firstRow="1" w:lastRow="0" w:firstColumn="1" w:lastColumn="0" w:noHBand="0" w:noVBand="0"/>
      </w:tblPr>
      <w:tblGrid>
        <w:gridCol w:w="9344"/>
      </w:tblGrid>
      <w:tr w:rsidR="00312E47" w14:paraId="04F5CA38" w14:textId="77777777">
        <w:tc>
          <w:tcPr>
            <w:tcW w:w="5000" w:type="pct"/>
            <w:tcBorders>
              <w:top w:val="single" w:sz="6" w:space="0" w:color="auto"/>
              <w:left w:val="single" w:sz="6" w:space="0" w:color="auto"/>
              <w:bottom w:val="single" w:sz="6" w:space="0" w:color="auto"/>
              <w:right w:val="single" w:sz="6" w:space="0" w:color="auto"/>
            </w:tcBorders>
            <w:shd w:val="clear" w:color="auto" w:fill="F7F7F7"/>
          </w:tcPr>
          <w:p w14:paraId="31F0FBBA" w14:textId="77777777" w:rsidR="00312E47" w:rsidRDefault="00312E47">
            <w:pPr>
              <w:keepNext/>
              <w:keepLines/>
              <w:autoSpaceDE w:val="0"/>
              <w:autoSpaceDN w:val="0"/>
              <w:adjustRightInd w:val="0"/>
              <w:spacing w:after="0" w:line="240" w:lineRule="auto"/>
              <w:ind w:left="15" w:right="181"/>
              <w:jc w:val="both"/>
              <w:rPr>
                <w:rFonts w:ascii="Helv" w:hAnsi="Helv" w:cs="Helv"/>
                <w:b/>
                <w:bCs/>
                <w:color w:val="000080"/>
                <w:sz w:val="20"/>
                <w:szCs w:val="20"/>
              </w:rPr>
            </w:pPr>
            <w:r>
              <w:rPr>
                <w:rFonts w:ascii="Helv" w:hAnsi="Helv" w:cs="Helv"/>
                <w:b/>
                <w:bCs/>
                <w:color w:val="000080"/>
                <w:sz w:val="20"/>
                <w:szCs w:val="20"/>
              </w:rPr>
              <w:t>Qualifications</w:t>
            </w:r>
          </w:p>
        </w:tc>
      </w:tr>
    </w:tbl>
    <w:p w14:paraId="51FA4431" w14:textId="49622A76" w:rsidR="00AB7A8A" w:rsidRDefault="00AB7A8A" w:rsidP="00AB7A8A">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Required</w:t>
      </w:r>
    </w:p>
    <w:p w14:paraId="6D20BB6C" w14:textId="5F621CDD" w:rsidR="004F3E2C" w:rsidRDefault="0005659F" w:rsidP="0005659F">
      <w:pPr>
        <w:numPr>
          <w:ilvl w:val="0"/>
          <w:numId w:val="2"/>
        </w:numPr>
        <w:autoSpaceDE w:val="0"/>
        <w:autoSpaceDN w:val="0"/>
        <w:adjustRightInd w:val="0"/>
        <w:spacing w:after="0" w:line="240" w:lineRule="auto"/>
        <w:ind w:left="360" w:hanging="360"/>
        <w:rPr>
          <w:rFonts w:ascii="Helv" w:hAnsi="Helv" w:cs="Helv"/>
          <w:color w:val="000000"/>
          <w:sz w:val="20"/>
          <w:szCs w:val="20"/>
        </w:rPr>
      </w:pPr>
      <w:r>
        <w:rPr>
          <w:rFonts w:ascii="Helv" w:hAnsi="Helv" w:cs="Helv"/>
          <w:color w:val="000000"/>
          <w:sz w:val="20"/>
          <w:szCs w:val="20"/>
        </w:rPr>
        <w:t xml:space="preserve">Empathy for the </w:t>
      </w:r>
      <w:r w:rsidR="004F3E2C">
        <w:rPr>
          <w:rFonts w:ascii="Helv" w:hAnsi="Helv" w:cs="Helv"/>
          <w:color w:val="000000"/>
          <w:sz w:val="20"/>
          <w:szCs w:val="20"/>
        </w:rPr>
        <w:t xml:space="preserve">SPARX’s </w:t>
      </w:r>
      <w:r>
        <w:rPr>
          <w:rFonts w:ascii="Helv" w:hAnsi="Helv" w:cs="Helv"/>
          <w:color w:val="000000"/>
          <w:sz w:val="20"/>
          <w:szCs w:val="20"/>
        </w:rPr>
        <w:t xml:space="preserve">Group </w:t>
      </w:r>
      <w:r w:rsidR="004F3E2C">
        <w:rPr>
          <w:rFonts w:ascii="Helv" w:hAnsi="Helv" w:cs="Helv"/>
          <w:color w:val="000000"/>
          <w:sz w:val="20"/>
          <w:szCs w:val="20"/>
        </w:rPr>
        <w:t>mission</w:t>
      </w:r>
    </w:p>
    <w:p w14:paraId="59834AF6" w14:textId="1A4BA560" w:rsidR="0005659F" w:rsidRPr="0005659F" w:rsidRDefault="0005659F" w:rsidP="002774B2">
      <w:pPr>
        <w:numPr>
          <w:ilvl w:val="0"/>
          <w:numId w:val="2"/>
        </w:numPr>
        <w:autoSpaceDE w:val="0"/>
        <w:autoSpaceDN w:val="0"/>
        <w:adjustRightInd w:val="0"/>
        <w:spacing w:after="0" w:line="240" w:lineRule="auto"/>
        <w:ind w:left="360" w:hanging="360"/>
        <w:rPr>
          <w:rFonts w:ascii="Helv" w:hAnsi="Helv" w:cs="Helv"/>
          <w:color w:val="000000"/>
          <w:sz w:val="20"/>
          <w:szCs w:val="20"/>
        </w:rPr>
      </w:pPr>
      <w:r w:rsidRPr="0005659F">
        <w:rPr>
          <w:rFonts w:ascii="Helv" w:hAnsi="Helv" w:cs="Helv"/>
          <w:color w:val="000000"/>
          <w:sz w:val="20"/>
          <w:szCs w:val="20"/>
        </w:rPr>
        <w:t>Strong interests in global capital markets</w:t>
      </w:r>
    </w:p>
    <w:p w14:paraId="374A4814" w14:textId="19977AFB" w:rsidR="0005659F" w:rsidRPr="0005659F" w:rsidRDefault="0005659F" w:rsidP="0005659F">
      <w:pPr>
        <w:numPr>
          <w:ilvl w:val="0"/>
          <w:numId w:val="2"/>
        </w:numPr>
        <w:autoSpaceDE w:val="0"/>
        <w:autoSpaceDN w:val="0"/>
        <w:adjustRightInd w:val="0"/>
        <w:spacing w:after="0" w:line="240" w:lineRule="auto"/>
        <w:ind w:left="360" w:hanging="360"/>
        <w:rPr>
          <w:rFonts w:ascii="Helv" w:hAnsi="Helv" w:cs="Helv"/>
          <w:color w:val="000000"/>
          <w:sz w:val="20"/>
          <w:szCs w:val="20"/>
        </w:rPr>
      </w:pPr>
      <w:r w:rsidRPr="0005659F">
        <w:rPr>
          <w:rFonts w:ascii="Helv" w:hAnsi="Helv" w:cs="Helv"/>
          <w:color w:val="000000"/>
          <w:sz w:val="20"/>
          <w:szCs w:val="20"/>
        </w:rPr>
        <w:t xml:space="preserve">Strong interests in </w:t>
      </w:r>
      <w:r>
        <w:rPr>
          <w:rFonts w:ascii="Helv" w:hAnsi="Helv" w:cs="Helv"/>
          <w:color w:val="000000"/>
          <w:sz w:val="20"/>
          <w:szCs w:val="20"/>
        </w:rPr>
        <w:t>global fund business</w:t>
      </w:r>
    </w:p>
    <w:p w14:paraId="66CCA4E2" w14:textId="51749C4B" w:rsidR="0005659F" w:rsidRPr="0005659F" w:rsidRDefault="0005659F" w:rsidP="009F62D5">
      <w:pPr>
        <w:numPr>
          <w:ilvl w:val="0"/>
          <w:numId w:val="2"/>
        </w:numPr>
        <w:autoSpaceDE w:val="0"/>
        <w:autoSpaceDN w:val="0"/>
        <w:adjustRightInd w:val="0"/>
        <w:spacing w:after="0" w:line="240" w:lineRule="auto"/>
        <w:ind w:left="360" w:hanging="360"/>
        <w:rPr>
          <w:rFonts w:ascii="Helv" w:hAnsi="Helv" w:cs="Helv"/>
          <w:color w:val="000000"/>
          <w:sz w:val="20"/>
          <w:szCs w:val="20"/>
        </w:rPr>
      </w:pPr>
      <w:r w:rsidRPr="0005659F">
        <w:rPr>
          <w:rFonts w:ascii="Helv" w:hAnsi="Helv" w:cs="Helv"/>
          <w:color w:val="000000"/>
          <w:sz w:val="20"/>
          <w:szCs w:val="20"/>
        </w:rPr>
        <w:t>Proven ability to successfully develop strong working relationships with people from diverse backgrounds such as nationality, gender, language, age and religion.</w:t>
      </w:r>
    </w:p>
    <w:p w14:paraId="524A5E05" w14:textId="605FAAA7" w:rsidR="0005659F" w:rsidRDefault="0005659F" w:rsidP="0005659F">
      <w:pPr>
        <w:numPr>
          <w:ilvl w:val="0"/>
          <w:numId w:val="2"/>
        </w:numPr>
        <w:autoSpaceDE w:val="0"/>
        <w:autoSpaceDN w:val="0"/>
        <w:adjustRightInd w:val="0"/>
        <w:spacing w:after="0" w:line="240" w:lineRule="auto"/>
        <w:ind w:left="360" w:hanging="360"/>
        <w:rPr>
          <w:rFonts w:ascii="Helv" w:hAnsi="Helv" w:cs="Helv"/>
          <w:color w:val="000000"/>
          <w:sz w:val="20"/>
          <w:szCs w:val="20"/>
        </w:rPr>
      </w:pPr>
      <w:r>
        <w:rPr>
          <w:rFonts w:ascii="Helv" w:hAnsi="Helv" w:cs="Helv"/>
          <w:color w:val="000000"/>
          <w:sz w:val="20"/>
          <w:szCs w:val="20"/>
        </w:rPr>
        <w:t xml:space="preserve">Strong leadership and personnel development skills to contribute to firm-wide (including overseas subsidiaries) projects </w:t>
      </w:r>
    </w:p>
    <w:p w14:paraId="4FF8826C" w14:textId="59519F9C" w:rsidR="004F3E2C" w:rsidRDefault="0005659F" w:rsidP="00312E47">
      <w:pPr>
        <w:numPr>
          <w:ilvl w:val="0"/>
          <w:numId w:val="2"/>
        </w:numPr>
        <w:autoSpaceDE w:val="0"/>
        <w:autoSpaceDN w:val="0"/>
        <w:adjustRightInd w:val="0"/>
        <w:spacing w:after="0" w:line="240" w:lineRule="auto"/>
        <w:ind w:left="360" w:hanging="360"/>
        <w:rPr>
          <w:rFonts w:ascii="Helv" w:hAnsi="Helv" w:cs="Helv"/>
          <w:color w:val="000000"/>
          <w:sz w:val="20"/>
          <w:szCs w:val="20"/>
        </w:rPr>
      </w:pPr>
      <w:r>
        <w:rPr>
          <w:rFonts w:ascii="Helv" w:hAnsi="Helv" w:cs="Helv"/>
          <w:color w:val="000000"/>
          <w:sz w:val="20"/>
          <w:szCs w:val="20"/>
        </w:rPr>
        <w:t>Proven ability to fulfill multi-tasks and flexibility to be reallocated to different department depending on the business environment</w:t>
      </w:r>
    </w:p>
    <w:p w14:paraId="771EA279" w14:textId="151E9441" w:rsidR="0005659F" w:rsidRDefault="0005659F" w:rsidP="0005659F">
      <w:pPr>
        <w:numPr>
          <w:ilvl w:val="0"/>
          <w:numId w:val="2"/>
        </w:numPr>
        <w:autoSpaceDE w:val="0"/>
        <w:autoSpaceDN w:val="0"/>
        <w:adjustRightInd w:val="0"/>
        <w:spacing w:after="0" w:line="240" w:lineRule="auto"/>
        <w:ind w:left="360" w:hanging="360"/>
        <w:rPr>
          <w:rFonts w:ascii="Helv" w:hAnsi="Helv" w:cs="Helv"/>
          <w:color w:val="000000"/>
          <w:sz w:val="20"/>
          <w:szCs w:val="20"/>
        </w:rPr>
      </w:pPr>
      <w:r>
        <w:rPr>
          <w:rFonts w:ascii="Helv" w:hAnsi="Helv" w:cs="Helv"/>
          <w:color w:val="000000"/>
          <w:sz w:val="20"/>
          <w:szCs w:val="20"/>
        </w:rPr>
        <w:t>Proven ability to t</w:t>
      </w:r>
      <w:r w:rsidR="00AB7A8A">
        <w:rPr>
          <w:rFonts w:ascii="Helv" w:hAnsi="Helv" w:cs="Helv"/>
          <w:color w:val="000000"/>
          <w:sz w:val="20"/>
          <w:szCs w:val="20"/>
        </w:rPr>
        <w:t>hink and perform strategically and to make reasonable business judgments.</w:t>
      </w:r>
    </w:p>
    <w:p w14:paraId="512A4D11" w14:textId="51C7447C" w:rsidR="00AB7A8A" w:rsidRPr="00AB7A8A" w:rsidRDefault="00AB7A8A" w:rsidP="0005659F">
      <w:pPr>
        <w:numPr>
          <w:ilvl w:val="0"/>
          <w:numId w:val="2"/>
        </w:numPr>
        <w:autoSpaceDE w:val="0"/>
        <w:autoSpaceDN w:val="0"/>
        <w:adjustRightInd w:val="0"/>
        <w:spacing w:after="0" w:line="240" w:lineRule="auto"/>
        <w:ind w:left="360" w:hanging="360"/>
        <w:rPr>
          <w:rFonts w:ascii="Helv" w:hAnsi="Helv" w:cs="Helv"/>
          <w:color w:val="000000"/>
          <w:sz w:val="20"/>
          <w:szCs w:val="20"/>
        </w:rPr>
      </w:pPr>
      <w:r>
        <w:rPr>
          <w:rFonts w:ascii="Helv" w:eastAsia="ＭＳ 明朝" w:hAnsi="Helv" w:cs="Helv"/>
          <w:color w:val="000000"/>
          <w:sz w:val="20"/>
          <w:szCs w:val="20"/>
          <w:lang w:eastAsia="ja-JP"/>
        </w:rPr>
        <w:t>Long-term perspective for career development</w:t>
      </w:r>
    </w:p>
    <w:p w14:paraId="2D5CDE3C" w14:textId="77777777" w:rsidR="00AB7A8A" w:rsidRDefault="00AB7A8A" w:rsidP="00AB7A8A">
      <w:pPr>
        <w:numPr>
          <w:ilvl w:val="0"/>
          <w:numId w:val="2"/>
        </w:numPr>
        <w:autoSpaceDE w:val="0"/>
        <w:autoSpaceDN w:val="0"/>
        <w:adjustRightInd w:val="0"/>
        <w:spacing w:after="0" w:line="240" w:lineRule="auto"/>
        <w:ind w:left="360" w:hanging="360"/>
        <w:rPr>
          <w:rFonts w:ascii="Helv" w:hAnsi="Helv" w:cs="Helv"/>
          <w:color w:val="000000"/>
          <w:sz w:val="20"/>
          <w:szCs w:val="20"/>
        </w:rPr>
      </w:pPr>
      <w:r>
        <w:rPr>
          <w:rFonts w:ascii="Helv" w:hAnsi="Helv" w:cs="Helv"/>
          <w:color w:val="000000"/>
          <w:sz w:val="20"/>
          <w:szCs w:val="20"/>
        </w:rPr>
        <w:t>Working knowledge of all MS Office software.</w:t>
      </w:r>
    </w:p>
    <w:p w14:paraId="7E111BEE" w14:textId="77777777" w:rsidR="00AB7A8A" w:rsidRDefault="00AB7A8A" w:rsidP="00AB7A8A">
      <w:pPr>
        <w:numPr>
          <w:ilvl w:val="0"/>
          <w:numId w:val="2"/>
        </w:numPr>
        <w:autoSpaceDE w:val="0"/>
        <w:autoSpaceDN w:val="0"/>
        <w:adjustRightInd w:val="0"/>
        <w:spacing w:after="0" w:line="240" w:lineRule="auto"/>
        <w:ind w:left="360" w:hanging="360"/>
        <w:rPr>
          <w:rFonts w:ascii="Helv" w:hAnsi="Helv" w:cs="Helv"/>
          <w:color w:val="000000"/>
          <w:sz w:val="20"/>
          <w:szCs w:val="20"/>
        </w:rPr>
      </w:pPr>
      <w:r>
        <w:rPr>
          <w:rFonts w:ascii="Helv" w:hAnsi="Helv" w:cs="Helv"/>
          <w:color w:val="000000"/>
          <w:sz w:val="20"/>
          <w:szCs w:val="20"/>
        </w:rPr>
        <w:t>High proficiency in English including speaking, listening, reading and writing.</w:t>
      </w:r>
    </w:p>
    <w:p w14:paraId="46C1AF40" w14:textId="6F8108FB" w:rsidR="00AB7A8A" w:rsidRPr="00AB7A8A" w:rsidRDefault="00AB7A8A" w:rsidP="001E5E14">
      <w:pPr>
        <w:numPr>
          <w:ilvl w:val="0"/>
          <w:numId w:val="2"/>
        </w:numPr>
        <w:autoSpaceDE w:val="0"/>
        <w:autoSpaceDN w:val="0"/>
        <w:adjustRightInd w:val="0"/>
        <w:spacing w:after="0" w:line="240" w:lineRule="auto"/>
        <w:ind w:left="360" w:hanging="360"/>
        <w:rPr>
          <w:rFonts w:ascii="Helv" w:hAnsi="Helv" w:cs="Helv"/>
          <w:color w:val="000000"/>
          <w:sz w:val="20"/>
          <w:szCs w:val="20"/>
        </w:rPr>
      </w:pPr>
      <w:r w:rsidRPr="00AB7A8A">
        <w:rPr>
          <w:rFonts w:ascii="Helv" w:hAnsi="Helv" w:cs="Helv"/>
          <w:color w:val="000000"/>
          <w:sz w:val="20"/>
          <w:szCs w:val="20"/>
        </w:rPr>
        <w:t>(</w:t>
      </w:r>
      <w:r>
        <w:rPr>
          <w:rFonts w:ascii="Helv" w:hAnsi="Helv" w:cs="Helv"/>
          <w:color w:val="000000"/>
          <w:sz w:val="20"/>
          <w:szCs w:val="20"/>
        </w:rPr>
        <w:t>F</w:t>
      </w:r>
      <w:r w:rsidRPr="00AB7A8A">
        <w:rPr>
          <w:rFonts w:ascii="Helv" w:hAnsi="Helv" w:cs="Helv"/>
          <w:color w:val="000000"/>
          <w:sz w:val="20"/>
          <w:szCs w:val="20"/>
        </w:rPr>
        <w:t>or candidate</w:t>
      </w:r>
      <w:r w:rsidR="00D90739">
        <w:rPr>
          <w:rFonts w:ascii="Helv" w:hAnsi="Helv" w:cs="Helv"/>
          <w:color w:val="000000"/>
          <w:sz w:val="20"/>
          <w:szCs w:val="20"/>
        </w:rPr>
        <w:t xml:space="preserve">s whose </w:t>
      </w:r>
      <w:r w:rsidRPr="00AB7A8A">
        <w:rPr>
          <w:rFonts w:ascii="Helv" w:hAnsi="Helv" w:cs="Helv"/>
          <w:color w:val="000000"/>
          <w:sz w:val="20"/>
          <w:szCs w:val="20"/>
        </w:rPr>
        <w:t>first language is not Japanese) High proficiency in Japanese including speaking, listening</w:t>
      </w:r>
    </w:p>
    <w:p w14:paraId="6F75CBF6" w14:textId="77777777" w:rsidR="00AB7A8A" w:rsidRDefault="00AB7A8A" w:rsidP="00AB7A8A">
      <w:pPr>
        <w:autoSpaceDE w:val="0"/>
        <w:autoSpaceDN w:val="0"/>
        <w:adjustRightInd w:val="0"/>
        <w:spacing w:after="0" w:line="240" w:lineRule="auto"/>
        <w:rPr>
          <w:rFonts w:ascii="Helv" w:hAnsi="Helv" w:cs="Helv"/>
          <w:color w:val="000000"/>
          <w:sz w:val="20"/>
          <w:szCs w:val="20"/>
        </w:rPr>
      </w:pPr>
    </w:p>
    <w:p w14:paraId="0A2D572A" w14:textId="77777777" w:rsidR="0005659F" w:rsidRDefault="0005659F" w:rsidP="00AB7A8A">
      <w:pPr>
        <w:autoSpaceDE w:val="0"/>
        <w:autoSpaceDN w:val="0"/>
        <w:adjustRightInd w:val="0"/>
        <w:spacing w:after="0" w:line="240" w:lineRule="auto"/>
        <w:rPr>
          <w:rFonts w:ascii="Helv" w:hAnsi="Helv" w:cs="Helv"/>
          <w:color w:val="000000"/>
          <w:sz w:val="20"/>
          <w:szCs w:val="20"/>
        </w:rPr>
      </w:pPr>
    </w:p>
    <w:p w14:paraId="1EF667B2" w14:textId="598D19D2" w:rsidR="00AB7A8A" w:rsidRPr="00AB7A8A" w:rsidRDefault="00AB7A8A" w:rsidP="00AB7A8A">
      <w:pPr>
        <w:autoSpaceDE w:val="0"/>
        <w:autoSpaceDN w:val="0"/>
        <w:adjustRightInd w:val="0"/>
        <w:spacing w:after="0" w:line="240" w:lineRule="auto"/>
        <w:rPr>
          <w:rFonts w:ascii="Helv" w:hAnsi="Helv" w:cs="Helv"/>
          <w:color w:val="000000"/>
          <w:sz w:val="20"/>
          <w:szCs w:val="20"/>
        </w:rPr>
      </w:pPr>
      <w:r>
        <w:t>Preferred</w:t>
      </w:r>
    </w:p>
    <w:p w14:paraId="21FBDA61" w14:textId="7C653037" w:rsidR="00312E47" w:rsidRDefault="00AB7A8A" w:rsidP="00312E47">
      <w:pPr>
        <w:numPr>
          <w:ilvl w:val="0"/>
          <w:numId w:val="2"/>
        </w:numPr>
        <w:autoSpaceDE w:val="0"/>
        <w:autoSpaceDN w:val="0"/>
        <w:adjustRightInd w:val="0"/>
        <w:spacing w:after="0" w:line="240" w:lineRule="auto"/>
        <w:ind w:left="360" w:hanging="360"/>
        <w:rPr>
          <w:rFonts w:ascii="Helv" w:hAnsi="Helv" w:cs="Helv"/>
          <w:color w:val="000000"/>
          <w:sz w:val="20"/>
          <w:szCs w:val="20"/>
        </w:rPr>
      </w:pPr>
      <w:r>
        <w:rPr>
          <w:rFonts w:ascii="Helv" w:hAnsi="Helv" w:cs="Helv"/>
          <w:color w:val="000000"/>
          <w:sz w:val="20"/>
          <w:szCs w:val="20"/>
        </w:rPr>
        <w:t>Extensive technical and product knowledge of investment offerings and p</w:t>
      </w:r>
      <w:r w:rsidR="00312E47">
        <w:rPr>
          <w:rFonts w:ascii="Helv" w:hAnsi="Helv" w:cs="Helv"/>
          <w:color w:val="000000"/>
          <w:sz w:val="20"/>
          <w:szCs w:val="20"/>
        </w:rPr>
        <w:t xml:space="preserve">rofessional investment qualifications / accreditation such as CMA, </w:t>
      </w:r>
      <w:r>
        <w:rPr>
          <w:rFonts w:ascii="Helv" w:hAnsi="Helv" w:cs="Helv"/>
          <w:color w:val="000000"/>
          <w:sz w:val="20"/>
          <w:szCs w:val="20"/>
        </w:rPr>
        <w:t>CFA, Security Dealers License</w:t>
      </w:r>
      <w:r w:rsidR="00312E47">
        <w:rPr>
          <w:rFonts w:ascii="Helv" w:hAnsi="Helv" w:cs="Helv"/>
          <w:color w:val="000000"/>
          <w:sz w:val="20"/>
          <w:szCs w:val="20"/>
        </w:rPr>
        <w:t xml:space="preserve"> and others are highly regarded.</w:t>
      </w:r>
    </w:p>
    <w:p w14:paraId="077C821C" w14:textId="77777777" w:rsidR="00AB7A8A" w:rsidRDefault="00AB7A8A" w:rsidP="00AB7A8A">
      <w:pPr>
        <w:numPr>
          <w:ilvl w:val="0"/>
          <w:numId w:val="2"/>
        </w:numPr>
        <w:autoSpaceDE w:val="0"/>
        <w:autoSpaceDN w:val="0"/>
        <w:adjustRightInd w:val="0"/>
        <w:spacing w:after="0" w:line="240" w:lineRule="auto"/>
        <w:ind w:left="360" w:hanging="360"/>
        <w:rPr>
          <w:rFonts w:ascii="Helv" w:hAnsi="Helv" w:cs="Helv"/>
          <w:color w:val="000000"/>
          <w:sz w:val="20"/>
          <w:szCs w:val="20"/>
        </w:rPr>
      </w:pPr>
      <w:r>
        <w:rPr>
          <w:rFonts w:ascii="Helv" w:hAnsi="Helv" w:cs="Helv"/>
          <w:color w:val="000000"/>
          <w:sz w:val="20"/>
          <w:szCs w:val="20"/>
        </w:rPr>
        <w:t>F</w:t>
      </w:r>
      <w:r w:rsidR="00312E47">
        <w:rPr>
          <w:rFonts w:ascii="Helv" w:hAnsi="Helv" w:cs="Helv"/>
          <w:color w:val="000000"/>
          <w:sz w:val="20"/>
          <w:szCs w:val="20"/>
        </w:rPr>
        <w:t xml:space="preserve">inancial services experience with Sales experience </w:t>
      </w:r>
      <w:r>
        <w:rPr>
          <w:rFonts w:ascii="Helv" w:hAnsi="Helv" w:cs="Helv"/>
          <w:color w:val="000000"/>
          <w:sz w:val="20"/>
          <w:szCs w:val="20"/>
        </w:rPr>
        <w:t>to financial institutional such as asset managers Pensions, SWFs and Family Offices and others are highly regarded.</w:t>
      </w:r>
    </w:p>
    <w:p w14:paraId="10DE7B3E" w14:textId="3B3142FD" w:rsidR="00AB7A8A" w:rsidRPr="0005659F" w:rsidRDefault="00AB7A8A" w:rsidP="00AB7A8A">
      <w:pPr>
        <w:numPr>
          <w:ilvl w:val="0"/>
          <w:numId w:val="2"/>
        </w:numPr>
        <w:autoSpaceDE w:val="0"/>
        <w:autoSpaceDN w:val="0"/>
        <w:adjustRightInd w:val="0"/>
        <w:spacing w:after="0" w:line="240" w:lineRule="auto"/>
        <w:ind w:left="360" w:hanging="360"/>
        <w:rPr>
          <w:rFonts w:ascii="Helv" w:hAnsi="Helv" w:cs="Helv"/>
          <w:color w:val="000000"/>
          <w:sz w:val="20"/>
          <w:szCs w:val="20"/>
        </w:rPr>
      </w:pPr>
      <w:r w:rsidRPr="0005659F">
        <w:rPr>
          <w:rFonts w:ascii="Helv" w:hAnsi="Helv" w:cs="Helv"/>
          <w:color w:val="000000"/>
          <w:sz w:val="20"/>
          <w:szCs w:val="20"/>
        </w:rPr>
        <w:t>Strong interes</w:t>
      </w:r>
      <w:r>
        <w:rPr>
          <w:rFonts w:ascii="Helv" w:hAnsi="Helv" w:cs="Helv"/>
          <w:color w:val="000000"/>
          <w:sz w:val="20"/>
          <w:szCs w:val="20"/>
        </w:rPr>
        <w:t>ts in responsible investing</w:t>
      </w:r>
    </w:p>
    <w:p w14:paraId="62D45592" w14:textId="38C5A1D7" w:rsidR="008228D0" w:rsidRDefault="00AB7A8A" w:rsidP="00AB7A8A">
      <w:r w:rsidRPr="00AB7A8A">
        <w:rPr>
          <w:rFonts w:eastAsia="ＭＳ 明朝"/>
          <w:lang w:eastAsia="ja-JP"/>
        </w:rPr>
        <w:t xml:space="preserve"> </w:t>
      </w:r>
    </w:p>
    <w:sectPr w:rsidR="008228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741EE" w14:textId="77777777" w:rsidR="006F394F" w:rsidRDefault="006F394F" w:rsidP="0012399B">
      <w:pPr>
        <w:spacing w:after="0" w:line="240" w:lineRule="auto"/>
      </w:pPr>
      <w:r>
        <w:separator/>
      </w:r>
    </w:p>
  </w:endnote>
  <w:endnote w:type="continuationSeparator" w:id="0">
    <w:p w14:paraId="55E90191" w14:textId="77777777" w:rsidR="006F394F" w:rsidRDefault="006F394F" w:rsidP="00123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1F9AF" w14:textId="77777777" w:rsidR="006F394F" w:rsidRDefault="006F394F" w:rsidP="0012399B">
      <w:pPr>
        <w:spacing w:after="0" w:line="240" w:lineRule="auto"/>
      </w:pPr>
      <w:r>
        <w:separator/>
      </w:r>
    </w:p>
  </w:footnote>
  <w:footnote w:type="continuationSeparator" w:id="0">
    <w:p w14:paraId="106E0157" w14:textId="77777777" w:rsidR="006F394F" w:rsidRDefault="006F394F" w:rsidP="001239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A0EE5EA"/>
    <w:lvl w:ilvl="0">
      <w:numFmt w:val="bullet"/>
      <w:lvlText w:val="*"/>
      <w:lvlJc w:val="left"/>
    </w:lvl>
  </w:abstractNum>
  <w:abstractNum w:abstractNumId="1" w15:restartNumberingAfterBreak="0">
    <w:nsid w:val="38597BBB"/>
    <w:multiLevelType w:val="multilevel"/>
    <w:tmpl w:val="11BA6ECA"/>
    <w:lvl w:ilvl="0">
      <w:start w:val="1"/>
      <w:numFmt w:val="decimal"/>
      <w:lvlText w:val="%1."/>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6C11240F"/>
    <w:multiLevelType w:val="multilevel"/>
    <w:tmpl w:val="295E485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2"/>
  </w:num>
  <w:num w:numId="2">
    <w:abstractNumId w:val="0"/>
    <w:lvlOverride w:ilvl="0">
      <w:lvl w:ilvl="0">
        <w:numFmt w:val="bullet"/>
        <w:lvlText w:val=""/>
        <w:legacy w:legacy="1" w:legacySpace="0" w:legacyIndent="0"/>
        <w:lvlJc w:val="left"/>
        <w:rPr>
          <w:rFonts w:ascii="Symbol" w:hAnsi="Symbol" w:hint="default"/>
          <w:sz w:val="22"/>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2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44A46"/>
    <w:rsid w:val="0005659F"/>
    <w:rsid w:val="000E2CB5"/>
    <w:rsid w:val="000F6997"/>
    <w:rsid w:val="0012399B"/>
    <w:rsid w:val="00162000"/>
    <w:rsid w:val="001B414E"/>
    <w:rsid w:val="001E7BDF"/>
    <w:rsid w:val="002E0049"/>
    <w:rsid w:val="00312E47"/>
    <w:rsid w:val="00314622"/>
    <w:rsid w:val="00340BA4"/>
    <w:rsid w:val="004F3E2C"/>
    <w:rsid w:val="006F394F"/>
    <w:rsid w:val="00724223"/>
    <w:rsid w:val="007A75DF"/>
    <w:rsid w:val="008B1F0C"/>
    <w:rsid w:val="008C7032"/>
    <w:rsid w:val="00975AEA"/>
    <w:rsid w:val="00A157C5"/>
    <w:rsid w:val="00A257B7"/>
    <w:rsid w:val="00A6587F"/>
    <w:rsid w:val="00AB7A8A"/>
    <w:rsid w:val="00BD13BB"/>
    <w:rsid w:val="00BF0383"/>
    <w:rsid w:val="00CD7953"/>
    <w:rsid w:val="00D23863"/>
    <w:rsid w:val="00D65E2E"/>
    <w:rsid w:val="00D820D1"/>
    <w:rsid w:val="00D90739"/>
    <w:rsid w:val="00E166FC"/>
    <w:rsid w:val="00F24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16A4CBF"/>
  <w15:docId w15:val="{B3B0506E-BC28-4320-ACC4-06225C29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399B"/>
    <w:pPr>
      <w:tabs>
        <w:tab w:val="center" w:pos="4680"/>
        <w:tab w:val="right" w:pos="9360"/>
      </w:tabs>
      <w:spacing w:after="0" w:line="240" w:lineRule="auto"/>
    </w:pPr>
  </w:style>
  <w:style w:type="character" w:customStyle="1" w:styleId="a4">
    <w:name w:val="ヘッダー (文字)"/>
    <w:basedOn w:val="a0"/>
    <w:link w:val="a3"/>
    <w:uiPriority w:val="99"/>
    <w:rsid w:val="0012399B"/>
  </w:style>
  <w:style w:type="paragraph" w:styleId="a5">
    <w:name w:val="footer"/>
    <w:basedOn w:val="a"/>
    <w:link w:val="a6"/>
    <w:uiPriority w:val="99"/>
    <w:unhideWhenUsed/>
    <w:rsid w:val="0012399B"/>
    <w:pPr>
      <w:tabs>
        <w:tab w:val="center" w:pos="4680"/>
        <w:tab w:val="right" w:pos="9360"/>
      </w:tabs>
      <w:spacing w:after="0" w:line="240" w:lineRule="auto"/>
    </w:pPr>
  </w:style>
  <w:style w:type="character" w:customStyle="1" w:styleId="a6">
    <w:name w:val="フッター (文字)"/>
    <w:basedOn w:val="a0"/>
    <w:link w:val="a5"/>
    <w:uiPriority w:val="99"/>
    <w:rsid w:val="0012399B"/>
  </w:style>
  <w:style w:type="paragraph" w:styleId="a7">
    <w:name w:val="List Paragraph"/>
    <w:basedOn w:val="a"/>
    <w:uiPriority w:val="34"/>
    <w:qFormat/>
    <w:rsid w:val="00123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20CCAFB0E436A43B04C07530B043854" ma:contentTypeVersion="14" ma:contentTypeDescription="新しいドキュメントを作成します。" ma:contentTypeScope="" ma:versionID="612874c47f386ab292ace52a796f5552">
  <xsd:schema xmlns:xsd="http://www.w3.org/2001/XMLSchema" xmlns:xs="http://www.w3.org/2001/XMLSchema" xmlns:p="http://schemas.microsoft.com/office/2006/metadata/properties" xmlns:ns3="0d6447de-18b3-40dd-bb9e-36ccb7ceaa7f" xmlns:ns4="39da0886-f2d0-4159-9aa3-478453f312a1" targetNamespace="http://schemas.microsoft.com/office/2006/metadata/properties" ma:root="true" ma:fieldsID="bd3884965adde379487b33e9da232d5b" ns3:_="" ns4:_="">
    <xsd:import namespace="0d6447de-18b3-40dd-bb9e-36ccb7ceaa7f"/>
    <xsd:import namespace="39da0886-f2d0-4159-9aa3-478453f312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447de-18b3-40dd-bb9e-36ccb7ceaa7f"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SharingHintHash" ma:index="10" nillable="true" ma:displayName="共有のヒントのハッシュ"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da0886-f2d0-4159-9aa3-478453f312a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D5027-9F32-4C6F-9857-3424368B7027}">
  <ds:schemaRefs>
    <ds:schemaRef ds:uri="http://schemas.microsoft.com/sharepoint/v3/contenttype/forms"/>
  </ds:schemaRefs>
</ds:datastoreItem>
</file>

<file path=customXml/itemProps2.xml><?xml version="1.0" encoding="utf-8"?>
<ds:datastoreItem xmlns:ds="http://schemas.openxmlformats.org/officeDocument/2006/customXml" ds:itemID="{CCA309C0-8AE5-4524-A953-653FF897A8D3}">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0d6447de-18b3-40dd-bb9e-36ccb7ceaa7f"/>
    <ds:schemaRef ds:uri="http://schemas.microsoft.com/office/2006/metadata/properties"/>
    <ds:schemaRef ds:uri="http://purl.org/dc/terms/"/>
    <ds:schemaRef ds:uri="39da0886-f2d0-4159-9aa3-478453f312a1"/>
    <ds:schemaRef ds:uri="http://www.w3.org/XML/1998/namespace"/>
    <ds:schemaRef ds:uri="http://purl.org/dc/dcmitype/"/>
  </ds:schemaRefs>
</ds:datastoreItem>
</file>

<file path=customXml/itemProps3.xml><?xml version="1.0" encoding="utf-8"?>
<ds:datastoreItem xmlns:ds="http://schemas.openxmlformats.org/officeDocument/2006/customXml" ds:itemID="{E156145B-7736-4FFC-8588-F19A87036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447de-18b3-40dd-bb9e-36ccb7ceaa7f"/>
    <ds:schemaRef ds:uri="39da0886-f2d0-4159-9aa3-478453f31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210693-09F7-4623-9C67-FC9910DD5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2707</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Vanguard</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 Beth</dc:creator>
  <cp:lastModifiedBy>Suzuki, Takeshi</cp:lastModifiedBy>
  <cp:revision>2</cp:revision>
  <dcterms:created xsi:type="dcterms:W3CDTF">2022-07-27T05:48:00Z</dcterms:created>
  <dcterms:modified xsi:type="dcterms:W3CDTF">2022-07-27T05:48:00Z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0x010100820CCAFB0E436A43B04C07530B043854</vt:lpwstr>
  </property>
</Properties>
</file>